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0B" w:rsidRDefault="00FA260B" w:rsidP="00FA260B">
      <w:pPr>
        <w:pStyle w:val="Heading4"/>
        <w:jc w:val="center"/>
        <w:rPr>
          <w:b/>
          <w:bCs/>
          <w:szCs w:val="28"/>
        </w:rPr>
      </w:pPr>
      <w:r w:rsidRPr="007308EC">
        <w:rPr>
          <w:b/>
          <w:bCs/>
          <w:szCs w:val="28"/>
        </w:rPr>
        <w:t>Summary Results for KS2</w:t>
      </w:r>
    </w:p>
    <w:p w:rsidR="00FA260B" w:rsidRDefault="00FA260B" w:rsidP="00FA260B"/>
    <w:p w:rsidR="00FA260B" w:rsidRPr="006D1AAE" w:rsidRDefault="00FA260B" w:rsidP="00FA260B">
      <w:pPr>
        <w:rPr>
          <w:sz w:val="28"/>
          <w:szCs w:val="28"/>
        </w:rPr>
      </w:pPr>
      <w:r w:rsidRPr="006D1AAE">
        <w:rPr>
          <w:sz w:val="28"/>
          <w:szCs w:val="28"/>
        </w:rPr>
        <w:t xml:space="preserve">In 2016 the Government changed the assessment system and the children were tested for the first time on a more demanding curriculum. Schools were compared against each other for both progress and attainment, Breckon Hill continues to have low attainment because of its context of many children joining at different times with no English but we are very proud of our progress data </w:t>
      </w:r>
      <w:r w:rsidR="0054583C" w:rsidRPr="006D1AAE">
        <w:rPr>
          <w:sz w:val="28"/>
          <w:szCs w:val="28"/>
        </w:rPr>
        <w:t>a</w:t>
      </w:r>
      <w:r w:rsidR="0038468C">
        <w:rPr>
          <w:sz w:val="28"/>
          <w:szCs w:val="28"/>
        </w:rPr>
        <w:t>nd</w:t>
      </w:r>
      <w:r w:rsidRPr="006D1AAE">
        <w:rPr>
          <w:sz w:val="28"/>
          <w:szCs w:val="28"/>
        </w:rPr>
        <w:t xml:space="preserve"> we are in the top 20% in the country for maths.</w:t>
      </w:r>
      <w:r w:rsidR="0054583C" w:rsidRPr="006D1AAE">
        <w:rPr>
          <w:sz w:val="28"/>
          <w:szCs w:val="28"/>
        </w:rPr>
        <w:t xml:space="preserve"> We are also well above floor targets for progress in all three </w:t>
      </w:r>
      <w:r w:rsidR="007D0D65">
        <w:rPr>
          <w:sz w:val="28"/>
          <w:szCs w:val="28"/>
        </w:rPr>
        <w:t xml:space="preserve">tested </w:t>
      </w:r>
      <w:bookmarkStart w:id="0" w:name="_GoBack"/>
      <w:bookmarkEnd w:id="0"/>
      <w:r w:rsidR="0054583C" w:rsidRPr="006D1AAE">
        <w:rPr>
          <w:sz w:val="28"/>
          <w:szCs w:val="28"/>
        </w:rPr>
        <w:t>subjects</w:t>
      </w:r>
      <w:r w:rsidR="006D1AAE" w:rsidRPr="006D1AAE">
        <w:rPr>
          <w:sz w:val="28"/>
          <w:szCs w:val="28"/>
        </w:rPr>
        <w:t>. Our attainment also showed that our Higher Ability children continued to achieve well ‘at greater depth’.</w:t>
      </w:r>
    </w:p>
    <w:p w:rsidR="006D1AAE" w:rsidRPr="00FA260B" w:rsidRDefault="006D1AAE" w:rsidP="00FA260B"/>
    <w:p w:rsidR="00FA260B" w:rsidRPr="007308EC" w:rsidRDefault="00FA260B" w:rsidP="00FA260B">
      <w:pPr>
        <w:rPr>
          <w:sz w:val="16"/>
          <w:szCs w:val="16"/>
        </w:rPr>
      </w:pPr>
    </w:p>
    <w:tbl>
      <w:tblPr>
        <w:tblW w:w="9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0"/>
        <w:gridCol w:w="4707"/>
        <w:gridCol w:w="1985"/>
        <w:gridCol w:w="2154"/>
      </w:tblGrid>
      <w:tr w:rsidR="006D1AAE" w:rsidRPr="001D6042" w:rsidTr="00D24FB4">
        <w:trPr>
          <w:trHeight w:val="967"/>
          <w:jc w:val="center"/>
        </w:trPr>
        <w:tc>
          <w:tcPr>
            <w:tcW w:w="860" w:type="dxa"/>
            <w:tcBorders>
              <w:top w:val="single" w:sz="6" w:space="0" w:color="auto"/>
              <w:left w:val="single" w:sz="6" w:space="0" w:color="auto"/>
              <w:bottom w:val="single" w:sz="6" w:space="0" w:color="auto"/>
              <w:right w:val="single" w:sz="6" w:space="0" w:color="auto"/>
            </w:tcBorders>
          </w:tcPr>
          <w:p w:rsidR="006D1AAE" w:rsidRDefault="006D1AAE" w:rsidP="00FA260B">
            <w:pPr>
              <w:jc w:val="center"/>
              <w:rPr>
                <w:sz w:val="26"/>
              </w:rPr>
            </w:pPr>
            <w:r>
              <w:rPr>
                <w:sz w:val="26"/>
              </w:rPr>
              <w:t>2016</w:t>
            </w:r>
          </w:p>
        </w:tc>
        <w:tc>
          <w:tcPr>
            <w:tcW w:w="4707" w:type="dxa"/>
            <w:tcBorders>
              <w:top w:val="single" w:sz="6" w:space="0" w:color="auto"/>
              <w:left w:val="single" w:sz="6" w:space="0" w:color="auto"/>
              <w:bottom w:val="single" w:sz="6" w:space="0" w:color="auto"/>
              <w:right w:val="single" w:sz="6" w:space="0" w:color="auto"/>
            </w:tcBorders>
          </w:tcPr>
          <w:p w:rsidR="006D1AAE" w:rsidRDefault="006D1AAE" w:rsidP="00FA260B">
            <w:pPr>
              <w:jc w:val="center"/>
              <w:rPr>
                <w:sz w:val="26"/>
              </w:rPr>
            </w:pPr>
            <w:r>
              <w:rPr>
                <w:sz w:val="26"/>
              </w:rPr>
              <w:t>All Children (55)</w:t>
            </w:r>
          </w:p>
          <w:p w:rsidR="006D1AAE" w:rsidRDefault="006D1AAE" w:rsidP="00FA260B">
            <w:pPr>
              <w:jc w:val="center"/>
              <w:rPr>
                <w:sz w:val="26"/>
              </w:rPr>
            </w:pPr>
            <w:r>
              <w:rPr>
                <w:sz w:val="26"/>
              </w:rPr>
              <w:t xml:space="preserve">Reading 45% </w:t>
            </w:r>
          </w:p>
          <w:p w:rsidR="006D1AAE" w:rsidRDefault="006D1AAE" w:rsidP="00FA260B">
            <w:pPr>
              <w:jc w:val="center"/>
              <w:rPr>
                <w:sz w:val="26"/>
              </w:rPr>
            </w:pPr>
            <w:r>
              <w:rPr>
                <w:sz w:val="26"/>
              </w:rPr>
              <w:t>Grammar and Spelling 67%</w:t>
            </w:r>
          </w:p>
          <w:p w:rsidR="006D1AAE" w:rsidRDefault="006D1AAE" w:rsidP="00FA260B">
            <w:pPr>
              <w:jc w:val="center"/>
              <w:rPr>
                <w:sz w:val="26"/>
              </w:rPr>
            </w:pPr>
            <w:r>
              <w:rPr>
                <w:sz w:val="26"/>
              </w:rPr>
              <w:t>Maths 60%</w:t>
            </w:r>
          </w:p>
          <w:p w:rsidR="006D1AAE" w:rsidRDefault="006D1AAE" w:rsidP="00FA260B">
            <w:pPr>
              <w:jc w:val="center"/>
              <w:rPr>
                <w:sz w:val="26"/>
              </w:rPr>
            </w:pPr>
            <w:r>
              <w:rPr>
                <w:sz w:val="26"/>
              </w:rPr>
              <w:t>Writing 36%</w:t>
            </w:r>
          </w:p>
          <w:p w:rsidR="006D1AAE" w:rsidRDefault="006D1AAE" w:rsidP="00FA260B">
            <w:pPr>
              <w:jc w:val="center"/>
              <w:rPr>
                <w:sz w:val="26"/>
              </w:rPr>
            </w:pPr>
            <w:r>
              <w:rPr>
                <w:sz w:val="26"/>
              </w:rPr>
              <w:t>Combined 33%</w:t>
            </w:r>
          </w:p>
          <w:p w:rsidR="0038468C" w:rsidRPr="00255D05" w:rsidRDefault="0038468C" w:rsidP="00FA260B">
            <w:pPr>
              <w:jc w:val="center"/>
              <w:rPr>
                <w:sz w:val="26"/>
              </w:rPr>
            </w:pPr>
            <w:r w:rsidRPr="00255D05">
              <w:rPr>
                <w:sz w:val="20"/>
              </w:rPr>
              <w:t>* This is an overall percentage and includes children who arrived in the country during KS2 with no English</w:t>
            </w:r>
          </w:p>
        </w:tc>
        <w:tc>
          <w:tcPr>
            <w:tcW w:w="4139" w:type="dxa"/>
            <w:gridSpan w:val="2"/>
            <w:tcBorders>
              <w:top w:val="single" w:sz="6" w:space="0" w:color="auto"/>
              <w:left w:val="single" w:sz="6" w:space="0" w:color="auto"/>
              <w:bottom w:val="single" w:sz="6" w:space="0" w:color="auto"/>
              <w:right w:val="single" w:sz="6" w:space="0" w:color="auto"/>
            </w:tcBorders>
          </w:tcPr>
          <w:p w:rsidR="006D1AAE" w:rsidRDefault="006D1AAE" w:rsidP="00FA260B">
            <w:pPr>
              <w:shd w:val="clear" w:color="auto" w:fill="FFFFFF"/>
              <w:jc w:val="center"/>
              <w:rPr>
                <w:rFonts w:ascii="Calibri" w:hAnsi="Calibri"/>
                <w:color w:val="000000"/>
                <w:sz w:val="26"/>
                <w:szCs w:val="26"/>
              </w:rPr>
            </w:pPr>
            <w:r>
              <w:rPr>
                <w:rFonts w:ascii="Calibri" w:hAnsi="Calibri"/>
                <w:color w:val="000000"/>
                <w:sz w:val="26"/>
                <w:szCs w:val="26"/>
              </w:rPr>
              <w:t>Children long term with school (34)</w:t>
            </w:r>
          </w:p>
          <w:p w:rsidR="006D1AAE" w:rsidRDefault="006D1AAE" w:rsidP="00FA260B">
            <w:pPr>
              <w:shd w:val="clear" w:color="auto" w:fill="FFFFFF"/>
              <w:jc w:val="center"/>
              <w:rPr>
                <w:rFonts w:ascii="Calibri" w:hAnsi="Calibri"/>
                <w:color w:val="000000"/>
                <w:sz w:val="26"/>
                <w:szCs w:val="26"/>
              </w:rPr>
            </w:pPr>
            <w:r>
              <w:rPr>
                <w:rFonts w:ascii="Calibri" w:hAnsi="Calibri"/>
                <w:color w:val="000000"/>
                <w:sz w:val="26"/>
                <w:szCs w:val="26"/>
              </w:rPr>
              <w:t>Reading 59%</w:t>
            </w:r>
          </w:p>
          <w:p w:rsidR="006D1AAE" w:rsidRDefault="006D1AAE" w:rsidP="006D1AAE">
            <w:pPr>
              <w:shd w:val="clear" w:color="auto" w:fill="FFFFFF"/>
              <w:jc w:val="center"/>
              <w:rPr>
                <w:sz w:val="26"/>
              </w:rPr>
            </w:pPr>
            <w:r>
              <w:rPr>
                <w:sz w:val="26"/>
              </w:rPr>
              <w:t xml:space="preserve">Grammar and Spelling </w:t>
            </w:r>
            <w:r>
              <w:rPr>
                <w:sz w:val="26"/>
              </w:rPr>
              <w:t>89</w:t>
            </w:r>
            <w:r>
              <w:rPr>
                <w:sz w:val="26"/>
              </w:rPr>
              <w:t>%</w:t>
            </w:r>
          </w:p>
          <w:p w:rsidR="006D1AAE" w:rsidRDefault="006D1AAE" w:rsidP="006D1AAE">
            <w:pPr>
              <w:shd w:val="clear" w:color="auto" w:fill="FFFFFF"/>
              <w:jc w:val="center"/>
              <w:rPr>
                <w:sz w:val="26"/>
              </w:rPr>
            </w:pPr>
            <w:r>
              <w:rPr>
                <w:sz w:val="26"/>
              </w:rPr>
              <w:t>Maths 79%</w:t>
            </w:r>
          </w:p>
          <w:p w:rsidR="006D1AAE" w:rsidRDefault="006D1AAE" w:rsidP="006D1AAE">
            <w:pPr>
              <w:shd w:val="clear" w:color="auto" w:fill="FFFFFF"/>
              <w:jc w:val="center"/>
              <w:rPr>
                <w:sz w:val="26"/>
              </w:rPr>
            </w:pPr>
            <w:r>
              <w:rPr>
                <w:sz w:val="26"/>
              </w:rPr>
              <w:t>Writing 47%</w:t>
            </w:r>
          </w:p>
          <w:p w:rsidR="006D1AAE" w:rsidRPr="000D5CD0" w:rsidRDefault="006D1AAE" w:rsidP="006D1AAE">
            <w:pPr>
              <w:shd w:val="clear" w:color="auto" w:fill="FFFFFF"/>
              <w:jc w:val="center"/>
              <w:rPr>
                <w:rFonts w:ascii="Calibri" w:hAnsi="Calibri"/>
                <w:color w:val="000000"/>
                <w:sz w:val="26"/>
                <w:szCs w:val="26"/>
              </w:rPr>
            </w:pPr>
            <w:r>
              <w:rPr>
                <w:sz w:val="26"/>
              </w:rPr>
              <w:t>Combined 47%</w:t>
            </w:r>
          </w:p>
        </w:tc>
      </w:tr>
      <w:tr w:rsidR="00FA260B" w:rsidRPr="001D6042" w:rsidTr="00FA260B">
        <w:trPr>
          <w:trHeight w:val="967"/>
          <w:jc w:val="center"/>
        </w:trPr>
        <w:tc>
          <w:tcPr>
            <w:tcW w:w="860" w:type="dxa"/>
            <w:tcBorders>
              <w:top w:val="single" w:sz="6" w:space="0" w:color="auto"/>
              <w:left w:val="single" w:sz="6" w:space="0" w:color="auto"/>
              <w:bottom w:val="single" w:sz="6" w:space="0" w:color="auto"/>
              <w:right w:val="single" w:sz="6" w:space="0" w:color="auto"/>
            </w:tcBorders>
          </w:tcPr>
          <w:p w:rsidR="00FA260B" w:rsidRPr="00C23C18" w:rsidRDefault="00FA260B" w:rsidP="00FA260B">
            <w:pPr>
              <w:jc w:val="center"/>
              <w:rPr>
                <w:sz w:val="26"/>
              </w:rPr>
            </w:pPr>
            <w:r>
              <w:rPr>
                <w:sz w:val="26"/>
              </w:rPr>
              <w:t>2015</w:t>
            </w:r>
          </w:p>
        </w:tc>
        <w:tc>
          <w:tcPr>
            <w:tcW w:w="4707" w:type="dxa"/>
            <w:tcBorders>
              <w:top w:val="single" w:sz="6" w:space="0" w:color="auto"/>
              <w:left w:val="single" w:sz="6" w:space="0" w:color="auto"/>
              <w:bottom w:val="single" w:sz="6" w:space="0" w:color="auto"/>
              <w:right w:val="single" w:sz="6" w:space="0" w:color="auto"/>
            </w:tcBorders>
          </w:tcPr>
          <w:p w:rsidR="00FA260B" w:rsidRPr="00EE70F3" w:rsidRDefault="00FA260B" w:rsidP="00FA260B">
            <w:pPr>
              <w:jc w:val="center"/>
              <w:rPr>
                <w:sz w:val="26"/>
                <w:highlight w:val="yellow"/>
              </w:rPr>
            </w:pPr>
            <w:r w:rsidRPr="00255D05">
              <w:rPr>
                <w:sz w:val="26"/>
              </w:rPr>
              <w:t xml:space="preserve">English and </w:t>
            </w:r>
            <w:proofErr w:type="gramStart"/>
            <w:r w:rsidRPr="00255D05">
              <w:rPr>
                <w:sz w:val="26"/>
              </w:rPr>
              <w:t>Maths  joint</w:t>
            </w:r>
            <w:proofErr w:type="gramEnd"/>
            <w:r w:rsidRPr="00255D05">
              <w:rPr>
                <w:sz w:val="26"/>
              </w:rPr>
              <w:t xml:space="preserve"> </w:t>
            </w:r>
            <w:r>
              <w:rPr>
                <w:sz w:val="26"/>
              </w:rPr>
              <w:t>38</w:t>
            </w:r>
            <w:r w:rsidRPr="00255D05">
              <w:rPr>
                <w:sz w:val="26"/>
              </w:rPr>
              <w:t>%</w:t>
            </w:r>
          </w:p>
          <w:p w:rsidR="00FA260B" w:rsidRPr="00255D05" w:rsidRDefault="00FA260B" w:rsidP="00FA260B">
            <w:pPr>
              <w:jc w:val="center"/>
              <w:rPr>
                <w:sz w:val="26"/>
              </w:rPr>
            </w:pPr>
            <w:r w:rsidRPr="00255D05">
              <w:rPr>
                <w:sz w:val="26"/>
              </w:rPr>
              <w:t>Maths 7</w:t>
            </w:r>
            <w:r>
              <w:rPr>
                <w:sz w:val="26"/>
              </w:rPr>
              <w:t>5</w:t>
            </w:r>
            <w:r w:rsidRPr="00255D05">
              <w:rPr>
                <w:sz w:val="26"/>
              </w:rPr>
              <w:t>%</w:t>
            </w:r>
          </w:p>
          <w:p w:rsidR="00FA260B" w:rsidRPr="00255D05" w:rsidRDefault="00FA260B" w:rsidP="00FA260B">
            <w:pPr>
              <w:jc w:val="center"/>
              <w:rPr>
                <w:sz w:val="26"/>
              </w:rPr>
            </w:pPr>
            <w:r w:rsidRPr="00255D05">
              <w:rPr>
                <w:sz w:val="26"/>
              </w:rPr>
              <w:t>Reading 47%</w:t>
            </w:r>
          </w:p>
          <w:p w:rsidR="00FA260B" w:rsidRPr="00255D05" w:rsidRDefault="00FA260B" w:rsidP="00FA260B">
            <w:pPr>
              <w:jc w:val="center"/>
              <w:rPr>
                <w:sz w:val="26"/>
              </w:rPr>
            </w:pPr>
            <w:r w:rsidRPr="00255D05">
              <w:rPr>
                <w:sz w:val="26"/>
              </w:rPr>
              <w:t>Writing 47%</w:t>
            </w:r>
          </w:p>
          <w:p w:rsidR="00FA260B" w:rsidRPr="00EE70F3" w:rsidRDefault="00FA260B" w:rsidP="00FA260B">
            <w:pPr>
              <w:jc w:val="center"/>
              <w:rPr>
                <w:sz w:val="26"/>
                <w:highlight w:val="yellow"/>
              </w:rPr>
            </w:pPr>
            <w:r w:rsidRPr="00255D05">
              <w:rPr>
                <w:sz w:val="20"/>
              </w:rPr>
              <w:t>* This is an overall percentage and includes children who arrived in the country during KS2 with no English</w:t>
            </w:r>
          </w:p>
        </w:tc>
        <w:tc>
          <w:tcPr>
            <w:tcW w:w="1985" w:type="dxa"/>
            <w:tcBorders>
              <w:top w:val="single" w:sz="6" w:space="0" w:color="auto"/>
              <w:left w:val="single" w:sz="6" w:space="0" w:color="auto"/>
              <w:bottom w:val="single" w:sz="6" w:space="0" w:color="auto"/>
              <w:right w:val="single" w:sz="6" w:space="0" w:color="auto"/>
            </w:tcBorders>
          </w:tcPr>
          <w:p w:rsidR="00FA260B" w:rsidRPr="00255D05" w:rsidRDefault="00FA260B" w:rsidP="00FA260B">
            <w:pPr>
              <w:jc w:val="center"/>
              <w:rPr>
                <w:sz w:val="26"/>
              </w:rPr>
            </w:pPr>
            <w:r w:rsidRPr="00255D05">
              <w:rPr>
                <w:sz w:val="26"/>
              </w:rPr>
              <w:t>2 levels progress</w:t>
            </w:r>
          </w:p>
          <w:p w:rsidR="00FA260B" w:rsidRPr="00255D05" w:rsidRDefault="00FA260B" w:rsidP="00FA260B">
            <w:pPr>
              <w:jc w:val="center"/>
              <w:rPr>
                <w:sz w:val="26"/>
              </w:rPr>
            </w:pPr>
            <w:r w:rsidRPr="00255D05">
              <w:rPr>
                <w:sz w:val="26"/>
              </w:rPr>
              <w:t>Maths 95%</w:t>
            </w:r>
          </w:p>
          <w:p w:rsidR="00FA260B" w:rsidRPr="00255D05" w:rsidRDefault="00FA260B" w:rsidP="00FA260B">
            <w:pPr>
              <w:jc w:val="center"/>
              <w:rPr>
                <w:sz w:val="26"/>
              </w:rPr>
            </w:pPr>
            <w:r w:rsidRPr="00255D05">
              <w:rPr>
                <w:sz w:val="26"/>
              </w:rPr>
              <w:t>Reading 75%</w:t>
            </w:r>
          </w:p>
          <w:p w:rsidR="00FA260B" w:rsidRPr="00EE70F3" w:rsidRDefault="00FA260B" w:rsidP="00FA260B">
            <w:pPr>
              <w:jc w:val="center"/>
              <w:rPr>
                <w:color w:val="FF0000"/>
                <w:sz w:val="26"/>
                <w:highlight w:val="yellow"/>
              </w:rPr>
            </w:pPr>
            <w:r w:rsidRPr="00255D05">
              <w:rPr>
                <w:sz w:val="26"/>
              </w:rPr>
              <w:t>Writing 93%</w:t>
            </w:r>
          </w:p>
        </w:tc>
        <w:tc>
          <w:tcPr>
            <w:tcW w:w="2154" w:type="dxa"/>
            <w:tcBorders>
              <w:top w:val="single" w:sz="6" w:space="0" w:color="auto"/>
              <w:left w:val="single" w:sz="6" w:space="0" w:color="auto"/>
              <w:bottom w:val="single" w:sz="6" w:space="0" w:color="auto"/>
              <w:right w:val="single" w:sz="6" w:space="0" w:color="auto"/>
            </w:tcBorders>
          </w:tcPr>
          <w:p w:rsidR="00FA260B" w:rsidRPr="000D5CD0" w:rsidRDefault="00FA260B" w:rsidP="00FA260B">
            <w:pPr>
              <w:shd w:val="clear" w:color="auto" w:fill="FFFFFF"/>
              <w:jc w:val="center"/>
              <w:rPr>
                <w:rFonts w:ascii="Calibri" w:hAnsi="Calibri"/>
                <w:color w:val="000000"/>
                <w:szCs w:val="24"/>
              </w:rPr>
            </w:pPr>
            <w:r w:rsidRPr="000D5CD0">
              <w:rPr>
                <w:rFonts w:ascii="Calibri" w:hAnsi="Calibri"/>
                <w:color w:val="000000"/>
                <w:sz w:val="26"/>
                <w:szCs w:val="26"/>
              </w:rPr>
              <w:t>3 levels progress</w:t>
            </w:r>
          </w:p>
          <w:p w:rsidR="00FA260B" w:rsidRPr="000D5CD0" w:rsidRDefault="00FA260B" w:rsidP="00FA260B">
            <w:pPr>
              <w:shd w:val="clear" w:color="auto" w:fill="FFFFFF"/>
              <w:jc w:val="center"/>
              <w:rPr>
                <w:rFonts w:ascii="Calibri" w:hAnsi="Calibri"/>
                <w:color w:val="000000"/>
                <w:szCs w:val="24"/>
              </w:rPr>
            </w:pPr>
            <w:r w:rsidRPr="000D5CD0">
              <w:rPr>
                <w:rFonts w:ascii="Calibri" w:hAnsi="Calibri"/>
                <w:color w:val="000000"/>
                <w:sz w:val="26"/>
                <w:szCs w:val="26"/>
              </w:rPr>
              <w:t>Maths 30%</w:t>
            </w:r>
          </w:p>
          <w:p w:rsidR="00FA260B" w:rsidRPr="000D5CD0" w:rsidRDefault="00FA260B" w:rsidP="00FA260B">
            <w:pPr>
              <w:shd w:val="clear" w:color="auto" w:fill="FFFFFF"/>
              <w:jc w:val="center"/>
              <w:rPr>
                <w:rFonts w:ascii="Calibri" w:hAnsi="Calibri"/>
                <w:color w:val="000000"/>
                <w:szCs w:val="24"/>
              </w:rPr>
            </w:pPr>
            <w:r w:rsidRPr="000D5CD0">
              <w:rPr>
                <w:rFonts w:ascii="Calibri" w:hAnsi="Calibri"/>
                <w:color w:val="000000"/>
                <w:sz w:val="26"/>
                <w:szCs w:val="26"/>
              </w:rPr>
              <w:t>Reading 23%</w:t>
            </w:r>
          </w:p>
          <w:p w:rsidR="00FA260B" w:rsidRPr="000D5CD0" w:rsidRDefault="00FA260B" w:rsidP="00FA260B">
            <w:pPr>
              <w:shd w:val="clear" w:color="auto" w:fill="FFFFFF"/>
              <w:jc w:val="center"/>
              <w:rPr>
                <w:rFonts w:ascii="Calibri" w:hAnsi="Calibri"/>
                <w:color w:val="000000"/>
                <w:szCs w:val="24"/>
              </w:rPr>
            </w:pPr>
            <w:r w:rsidRPr="000D5CD0">
              <w:rPr>
                <w:rFonts w:ascii="Calibri" w:hAnsi="Calibri"/>
                <w:color w:val="000000"/>
                <w:sz w:val="26"/>
                <w:szCs w:val="26"/>
              </w:rPr>
              <w:t>Writing 23%</w:t>
            </w:r>
          </w:p>
          <w:p w:rsidR="00FA260B" w:rsidRPr="00EE70F3" w:rsidRDefault="00FA260B" w:rsidP="00FA260B">
            <w:pPr>
              <w:jc w:val="center"/>
              <w:rPr>
                <w:sz w:val="26"/>
                <w:highlight w:val="yellow"/>
              </w:rPr>
            </w:pPr>
          </w:p>
        </w:tc>
      </w:tr>
      <w:tr w:rsidR="00FA260B" w:rsidRPr="001D6042" w:rsidTr="00FA260B">
        <w:trPr>
          <w:trHeight w:val="967"/>
          <w:jc w:val="center"/>
        </w:trPr>
        <w:tc>
          <w:tcPr>
            <w:tcW w:w="860" w:type="dxa"/>
            <w:tcBorders>
              <w:top w:val="single" w:sz="6" w:space="0" w:color="auto"/>
              <w:left w:val="single" w:sz="6" w:space="0" w:color="auto"/>
              <w:bottom w:val="single" w:sz="6" w:space="0" w:color="auto"/>
              <w:right w:val="single" w:sz="6" w:space="0" w:color="auto"/>
            </w:tcBorders>
          </w:tcPr>
          <w:p w:rsidR="00FA260B" w:rsidRPr="00C23C18" w:rsidRDefault="00FA260B" w:rsidP="009507C0">
            <w:pPr>
              <w:jc w:val="center"/>
              <w:rPr>
                <w:sz w:val="26"/>
              </w:rPr>
            </w:pPr>
            <w:r w:rsidRPr="00C23C18">
              <w:rPr>
                <w:sz w:val="26"/>
              </w:rPr>
              <w:t>201</w:t>
            </w:r>
            <w:r>
              <w:rPr>
                <w:sz w:val="26"/>
              </w:rPr>
              <w:t>4</w:t>
            </w:r>
          </w:p>
        </w:tc>
        <w:tc>
          <w:tcPr>
            <w:tcW w:w="4707" w:type="dxa"/>
            <w:tcBorders>
              <w:top w:val="single" w:sz="6" w:space="0" w:color="auto"/>
              <w:left w:val="single" w:sz="6" w:space="0" w:color="auto"/>
              <w:bottom w:val="single" w:sz="6" w:space="0" w:color="auto"/>
              <w:right w:val="single" w:sz="6" w:space="0" w:color="auto"/>
            </w:tcBorders>
          </w:tcPr>
          <w:p w:rsidR="00FA260B" w:rsidRPr="002C3AB3" w:rsidRDefault="00FA260B" w:rsidP="009507C0">
            <w:pPr>
              <w:jc w:val="center"/>
              <w:rPr>
                <w:sz w:val="26"/>
              </w:rPr>
            </w:pPr>
            <w:r w:rsidRPr="002C3AB3">
              <w:rPr>
                <w:sz w:val="26"/>
              </w:rPr>
              <w:t xml:space="preserve">English and </w:t>
            </w:r>
            <w:proofErr w:type="gramStart"/>
            <w:r w:rsidRPr="002C3AB3">
              <w:rPr>
                <w:sz w:val="26"/>
              </w:rPr>
              <w:t>Maths  joint</w:t>
            </w:r>
            <w:proofErr w:type="gramEnd"/>
            <w:r w:rsidRPr="002C3AB3">
              <w:rPr>
                <w:sz w:val="26"/>
              </w:rPr>
              <w:t xml:space="preserve"> 59%</w:t>
            </w:r>
          </w:p>
          <w:p w:rsidR="00FA260B" w:rsidRPr="002C3AB3" w:rsidRDefault="00FA260B" w:rsidP="009507C0">
            <w:pPr>
              <w:jc w:val="center"/>
              <w:rPr>
                <w:sz w:val="26"/>
              </w:rPr>
            </w:pPr>
            <w:r w:rsidRPr="002C3AB3">
              <w:rPr>
                <w:sz w:val="26"/>
              </w:rPr>
              <w:t>Reading 70%</w:t>
            </w:r>
          </w:p>
          <w:p w:rsidR="00FA260B" w:rsidRPr="002C3AB3" w:rsidRDefault="00FA260B" w:rsidP="009507C0">
            <w:pPr>
              <w:jc w:val="center"/>
              <w:rPr>
                <w:sz w:val="26"/>
              </w:rPr>
            </w:pPr>
            <w:r w:rsidRPr="002C3AB3">
              <w:rPr>
                <w:sz w:val="26"/>
              </w:rPr>
              <w:t>Writing 63%</w:t>
            </w:r>
          </w:p>
          <w:p w:rsidR="00FA260B" w:rsidRPr="002C3AB3" w:rsidRDefault="00FA260B" w:rsidP="009507C0">
            <w:pPr>
              <w:jc w:val="center"/>
              <w:rPr>
                <w:sz w:val="26"/>
              </w:rPr>
            </w:pPr>
            <w:r w:rsidRPr="002C3AB3">
              <w:rPr>
                <w:sz w:val="26"/>
              </w:rPr>
              <w:t>Maths 67%</w:t>
            </w:r>
          </w:p>
          <w:p w:rsidR="00FA260B" w:rsidRPr="005E344B" w:rsidRDefault="00FA260B" w:rsidP="009507C0">
            <w:pPr>
              <w:jc w:val="center"/>
              <w:rPr>
                <w:sz w:val="26"/>
                <w:highlight w:val="yellow"/>
              </w:rPr>
            </w:pPr>
            <w:r w:rsidRPr="002C3AB3">
              <w:rPr>
                <w:sz w:val="20"/>
              </w:rPr>
              <w:t>* This is an overall percentage and includes children who arrived in the country during KS2 with no English</w:t>
            </w:r>
          </w:p>
        </w:tc>
        <w:tc>
          <w:tcPr>
            <w:tcW w:w="1985" w:type="dxa"/>
            <w:tcBorders>
              <w:top w:val="single" w:sz="6" w:space="0" w:color="auto"/>
              <w:left w:val="single" w:sz="6" w:space="0" w:color="auto"/>
              <w:bottom w:val="single" w:sz="6" w:space="0" w:color="auto"/>
              <w:right w:val="single" w:sz="6" w:space="0" w:color="auto"/>
            </w:tcBorders>
          </w:tcPr>
          <w:p w:rsidR="00FA260B" w:rsidRPr="00EE70F3" w:rsidRDefault="00FA260B" w:rsidP="009507C0">
            <w:pPr>
              <w:jc w:val="center"/>
              <w:rPr>
                <w:sz w:val="26"/>
              </w:rPr>
            </w:pPr>
            <w:r w:rsidRPr="00EE70F3">
              <w:rPr>
                <w:sz w:val="26"/>
              </w:rPr>
              <w:t>2 levels progress</w:t>
            </w:r>
          </w:p>
          <w:p w:rsidR="00FA260B" w:rsidRPr="00EE70F3" w:rsidRDefault="00FA260B" w:rsidP="009507C0">
            <w:pPr>
              <w:jc w:val="center"/>
              <w:rPr>
                <w:sz w:val="26"/>
              </w:rPr>
            </w:pPr>
            <w:r w:rsidRPr="00EE70F3">
              <w:rPr>
                <w:sz w:val="26"/>
              </w:rPr>
              <w:t xml:space="preserve">Maths </w:t>
            </w:r>
            <w:r>
              <w:rPr>
                <w:sz w:val="26"/>
              </w:rPr>
              <w:t>88</w:t>
            </w:r>
            <w:r w:rsidRPr="00EE70F3">
              <w:rPr>
                <w:sz w:val="26"/>
              </w:rPr>
              <w:t>%</w:t>
            </w:r>
          </w:p>
          <w:p w:rsidR="00FA260B" w:rsidRPr="00EE70F3" w:rsidRDefault="00FA260B" w:rsidP="009507C0">
            <w:pPr>
              <w:jc w:val="center"/>
              <w:rPr>
                <w:sz w:val="26"/>
              </w:rPr>
            </w:pPr>
            <w:r w:rsidRPr="00EE70F3">
              <w:rPr>
                <w:sz w:val="26"/>
              </w:rPr>
              <w:t>Reading 90%</w:t>
            </w:r>
          </w:p>
          <w:p w:rsidR="00FA260B" w:rsidRPr="00EE70F3" w:rsidRDefault="00FA260B" w:rsidP="009507C0">
            <w:pPr>
              <w:jc w:val="center"/>
              <w:rPr>
                <w:color w:val="FF0000"/>
                <w:sz w:val="26"/>
              </w:rPr>
            </w:pPr>
            <w:r w:rsidRPr="00EE70F3">
              <w:rPr>
                <w:sz w:val="26"/>
              </w:rPr>
              <w:t>Writing 93%</w:t>
            </w:r>
          </w:p>
        </w:tc>
        <w:tc>
          <w:tcPr>
            <w:tcW w:w="2154" w:type="dxa"/>
            <w:tcBorders>
              <w:top w:val="single" w:sz="6" w:space="0" w:color="auto"/>
              <w:left w:val="single" w:sz="6" w:space="0" w:color="auto"/>
              <w:bottom w:val="single" w:sz="6" w:space="0" w:color="auto"/>
              <w:right w:val="single" w:sz="6" w:space="0" w:color="auto"/>
            </w:tcBorders>
          </w:tcPr>
          <w:p w:rsidR="00FA260B" w:rsidRPr="00EE70F3" w:rsidRDefault="00FA260B" w:rsidP="009507C0">
            <w:pPr>
              <w:jc w:val="center"/>
              <w:rPr>
                <w:sz w:val="26"/>
              </w:rPr>
            </w:pPr>
            <w:r w:rsidRPr="00EE70F3">
              <w:rPr>
                <w:sz w:val="26"/>
              </w:rPr>
              <w:t>3 levels progress</w:t>
            </w:r>
          </w:p>
          <w:p w:rsidR="00FA260B" w:rsidRPr="00EE70F3" w:rsidRDefault="00FA260B" w:rsidP="009507C0">
            <w:pPr>
              <w:jc w:val="center"/>
              <w:rPr>
                <w:sz w:val="26"/>
              </w:rPr>
            </w:pPr>
            <w:r w:rsidRPr="00EE70F3">
              <w:rPr>
                <w:sz w:val="26"/>
              </w:rPr>
              <w:t xml:space="preserve">Maths </w:t>
            </w:r>
            <w:r>
              <w:rPr>
                <w:sz w:val="26"/>
              </w:rPr>
              <w:t>44</w:t>
            </w:r>
            <w:r w:rsidRPr="00EE70F3">
              <w:rPr>
                <w:sz w:val="26"/>
              </w:rPr>
              <w:t>%</w:t>
            </w:r>
          </w:p>
          <w:p w:rsidR="00FA260B" w:rsidRPr="00EE70F3" w:rsidRDefault="00FA260B" w:rsidP="009507C0">
            <w:pPr>
              <w:jc w:val="center"/>
              <w:rPr>
                <w:sz w:val="26"/>
              </w:rPr>
            </w:pPr>
            <w:r w:rsidRPr="00EE70F3">
              <w:rPr>
                <w:sz w:val="26"/>
              </w:rPr>
              <w:t>Reading 39%</w:t>
            </w:r>
          </w:p>
          <w:p w:rsidR="00FA260B" w:rsidRPr="00EE70F3" w:rsidRDefault="00FA260B" w:rsidP="009507C0">
            <w:pPr>
              <w:jc w:val="center"/>
              <w:rPr>
                <w:sz w:val="26"/>
              </w:rPr>
            </w:pPr>
            <w:r w:rsidRPr="00EE70F3">
              <w:rPr>
                <w:sz w:val="26"/>
              </w:rPr>
              <w:t>Writing 12%</w:t>
            </w:r>
          </w:p>
        </w:tc>
      </w:tr>
      <w:tr w:rsidR="00FA260B" w:rsidRPr="001D6042" w:rsidTr="00FA260B">
        <w:trPr>
          <w:jc w:val="center"/>
        </w:trPr>
        <w:tc>
          <w:tcPr>
            <w:tcW w:w="9706" w:type="dxa"/>
            <w:gridSpan w:val="4"/>
            <w:tcBorders>
              <w:top w:val="single" w:sz="6" w:space="0" w:color="auto"/>
              <w:left w:val="single" w:sz="6" w:space="0" w:color="auto"/>
              <w:bottom w:val="single" w:sz="6" w:space="0" w:color="auto"/>
              <w:right w:val="single" w:sz="6" w:space="0" w:color="auto"/>
            </w:tcBorders>
          </w:tcPr>
          <w:p w:rsidR="0038468C" w:rsidRDefault="0038468C" w:rsidP="009507C0">
            <w:pPr>
              <w:shd w:val="clear" w:color="auto" w:fill="FFFFFF"/>
              <w:jc w:val="center"/>
              <w:rPr>
                <w:rFonts w:ascii="Calibri" w:hAnsi="Calibri"/>
                <w:color w:val="000000"/>
                <w:sz w:val="26"/>
                <w:szCs w:val="26"/>
              </w:rPr>
            </w:pPr>
          </w:p>
          <w:p w:rsidR="00FA260B" w:rsidRPr="000D5CD0" w:rsidRDefault="00FA260B" w:rsidP="009507C0">
            <w:pPr>
              <w:shd w:val="clear" w:color="auto" w:fill="FFFFFF"/>
              <w:jc w:val="center"/>
              <w:rPr>
                <w:rFonts w:ascii="Calibri" w:hAnsi="Calibri"/>
                <w:color w:val="000000"/>
                <w:szCs w:val="24"/>
              </w:rPr>
            </w:pPr>
            <w:r w:rsidRPr="000D5CD0">
              <w:rPr>
                <w:rFonts w:ascii="Calibri" w:hAnsi="Calibri"/>
                <w:color w:val="000000"/>
                <w:sz w:val="26"/>
                <w:szCs w:val="26"/>
              </w:rPr>
              <w:t xml:space="preserve">Breckon Hill has very high mobility so many of the children who take the exams have not been with us for their full school life. </w:t>
            </w:r>
            <w:r w:rsidR="0038468C">
              <w:rPr>
                <w:rFonts w:ascii="Calibri" w:hAnsi="Calibri"/>
                <w:color w:val="000000"/>
                <w:sz w:val="26"/>
                <w:szCs w:val="26"/>
              </w:rPr>
              <w:t xml:space="preserve">The 2016 results do not take into account some children who are yet to be removed from National Data, this will slightly increase the percentages. </w:t>
            </w:r>
            <w:r w:rsidRPr="000D5CD0">
              <w:rPr>
                <w:rFonts w:ascii="Calibri" w:hAnsi="Calibri"/>
                <w:color w:val="000000"/>
                <w:sz w:val="26"/>
                <w:szCs w:val="26"/>
              </w:rPr>
              <w:t>In 2015 only 27 children had been with us since Reception and 120 children had been in the cohort over the 7 years.</w:t>
            </w:r>
          </w:p>
          <w:p w:rsidR="00FA260B" w:rsidRPr="000D5CD0" w:rsidRDefault="00FA260B" w:rsidP="009507C0">
            <w:pPr>
              <w:shd w:val="clear" w:color="auto" w:fill="FFFFFF"/>
              <w:jc w:val="center"/>
              <w:rPr>
                <w:rFonts w:ascii="Calibri" w:hAnsi="Calibri"/>
                <w:color w:val="000000"/>
                <w:sz w:val="16"/>
                <w:szCs w:val="16"/>
              </w:rPr>
            </w:pPr>
            <w:r w:rsidRPr="000D5CD0">
              <w:rPr>
                <w:rFonts w:ascii="Calibri" w:hAnsi="Calibri"/>
                <w:color w:val="000000"/>
                <w:sz w:val="16"/>
                <w:szCs w:val="16"/>
              </w:rPr>
              <w:t> </w:t>
            </w:r>
          </w:p>
          <w:p w:rsidR="00FA260B" w:rsidRPr="000D5CD0" w:rsidRDefault="00FA260B" w:rsidP="009507C0">
            <w:pPr>
              <w:shd w:val="clear" w:color="auto" w:fill="FFFFFF"/>
              <w:jc w:val="center"/>
              <w:rPr>
                <w:rFonts w:ascii="Calibri" w:hAnsi="Calibri"/>
                <w:color w:val="000000"/>
                <w:szCs w:val="24"/>
              </w:rPr>
            </w:pPr>
            <w:r w:rsidRPr="000D5CD0">
              <w:rPr>
                <w:rFonts w:ascii="Calibri" w:hAnsi="Calibri"/>
                <w:i/>
                <w:iCs/>
                <w:color w:val="000000"/>
                <w:sz w:val="26"/>
                <w:szCs w:val="26"/>
              </w:rPr>
              <w:t xml:space="preserve">It is important to stress that the results of each Y6 group depend on the particular children in that group and if, like in 2015, there are a greater number with special needs their results will reflect that. Breckon Hill is very proud of the number of high achievers </w:t>
            </w:r>
            <w:proofErr w:type="gramStart"/>
            <w:r w:rsidRPr="000D5CD0">
              <w:rPr>
                <w:rFonts w:ascii="Calibri" w:hAnsi="Calibri"/>
                <w:i/>
                <w:iCs/>
                <w:color w:val="000000"/>
                <w:sz w:val="26"/>
                <w:szCs w:val="26"/>
              </w:rPr>
              <w:t xml:space="preserve">who </w:t>
            </w:r>
            <w:r w:rsidR="006D1AAE">
              <w:rPr>
                <w:rFonts w:ascii="Calibri" w:hAnsi="Calibri"/>
                <w:i/>
                <w:iCs/>
                <w:color w:val="000000"/>
                <w:sz w:val="26"/>
                <w:szCs w:val="26"/>
              </w:rPr>
              <w:t xml:space="preserve"> have</w:t>
            </w:r>
            <w:proofErr w:type="gramEnd"/>
            <w:r w:rsidR="006D1AAE">
              <w:rPr>
                <w:rFonts w:ascii="Calibri" w:hAnsi="Calibri"/>
                <w:i/>
                <w:iCs/>
                <w:color w:val="000000"/>
                <w:sz w:val="26"/>
                <w:szCs w:val="26"/>
              </w:rPr>
              <w:t xml:space="preserve"> </w:t>
            </w:r>
            <w:r w:rsidRPr="000D5CD0">
              <w:rPr>
                <w:rFonts w:ascii="Calibri" w:hAnsi="Calibri"/>
                <w:i/>
                <w:iCs/>
                <w:color w:val="000000"/>
                <w:sz w:val="26"/>
                <w:szCs w:val="26"/>
              </w:rPr>
              <w:t>reach</w:t>
            </w:r>
            <w:r w:rsidR="006D1AAE">
              <w:rPr>
                <w:rFonts w:ascii="Calibri" w:hAnsi="Calibri"/>
                <w:i/>
                <w:iCs/>
                <w:color w:val="000000"/>
                <w:sz w:val="26"/>
                <w:szCs w:val="26"/>
              </w:rPr>
              <w:t>ed</w:t>
            </w:r>
            <w:r w:rsidRPr="000D5CD0">
              <w:rPr>
                <w:rFonts w:ascii="Calibri" w:hAnsi="Calibri"/>
                <w:i/>
                <w:iCs/>
                <w:color w:val="000000"/>
                <w:sz w:val="26"/>
                <w:szCs w:val="26"/>
              </w:rPr>
              <w:t xml:space="preserve"> level 5</w:t>
            </w:r>
            <w:r w:rsidR="0038468C">
              <w:rPr>
                <w:rFonts w:ascii="Calibri" w:hAnsi="Calibri"/>
                <w:i/>
                <w:iCs/>
                <w:color w:val="000000"/>
                <w:sz w:val="26"/>
                <w:szCs w:val="26"/>
              </w:rPr>
              <w:t>,</w:t>
            </w:r>
            <w:r w:rsidRPr="000D5CD0">
              <w:rPr>
                <w:rFonts w:ascii="Calibri" w:hAnsi="Calibri"/>
                <w:i/>
                <w:iCs/>
                <w:color w:val="000000"/>
                <w:sz w:val="26"/>
                <w:szCs w:val="26"/>
              </w:rPr>
              <w:t xml:space="preserve"> showing that the curriculum we offer stretches all our children.</w:t>
            </w:r>
          </w:p>
          <w:p w:rsidR="00FA260B" w:rsidRPr="000D5CD0" w:rsidRDefault="00FA260B" w:rsidP="009507C0">
            <w:pPr>
              <w:tabs>
                <w:tab w:val="left" w:pos="6249"/>
              </w:tabs>
              <w:rPr>
                <w:sz w:val="16"/>
                <w:szCs w:val="16"/>
              </w:rPr>
            </w:pPr>
          </w:p>
        </w:tc>
      </w:tr>
    </w:tbl>
    <w:p w:rsidR="00FA260B" w:rsidRDefault="00FA260B" w:rsidP="00FA260B">
      <w:pPr>
        <w:rPr>
          <w:sz w:val="20"/>
        </w:rPr>
      </w:pPr>
    </w:p>
    <w:p w:rsidR="00A74326" w:rsidRDefault="00A74326"/>
    <w:sectPr w:rsidR="00A74326" w:rsidSect="006D1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0B"/>
    <w:rsid w:val="0038468C"/>
    <w:rsid w:val="0054583C"/>
    <w:rsid w:val="006D1AAE"/>
    <w:rsid w:val="007D0D65"/>
    <w:rsid w:val="00A74326"/>
    <w:rsid w:val="00FA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8320"/>
  <w15:chartTrackingRefBased/>
  <w15:docId w15:val="{437D6327-4944-4F49-8E79-8B10020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0B"/>
    <w:pPr>
      <w:spacing w:after="0" w:line="240" w:lineRule="auto"/>
    </w:pPr>
    <w:rPr>
      <w:rFonts w:ascii="Times New Roman" w:eastAsia="Times New Roman" w:hAnsi="Times New Roman" w:cs="Times New Roman"/>
      <w:sz w:val="24"/>
      <w:szCs w:val="20"/>
      <w:lang w:eastAsia="en-GB"/>
    </w:rPr>
  </w:style>
  <w:style w:type="paragraph" w:styleId="Heading4">
    <w:name w:val="heading 4"/>
    <w:aliases w:val="Numbered - 4"/>
    <w:basedOn w:val="Normal"/>
    <w:next w:val="Normal"/>
    <w:link w:val="Heading4Char"/>
    <w:qFormat/>
    <w:rsid w:val="00FA260B"/>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Numbered - 4 Char"/>
    <w:basedOn w:val="DefaultParagraphFont"/>
    <w:link w:val="Heading4"/>
    <w:rsid w:val="00FA260B"/>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diemoz</dc:creator>
  <cp:keywords/>
  <dc:description/>
  <cp:lastModifiedBy>Cherry diemoz</cp:lastModifiedBy>
  <cp:revision>2</cp:revision>
  <dcterms:created xsi:type="dcterms:W3CDTF">2017-01-09T15:24:00Z</dcterms:created>
  <dcterms:modified xsi:type="dcterms:W3CDTF">2017-01-09T15:24:00Z</dcterms:modified>
</cp:coreProperties>
</file>